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6F011" w14:textId="77777777" w:rsidR="00DA194B" w:rsidRPr="00EF4BC3" w:rsidRDefault="00DA194B" w:rsidP="00EF4BC3">
      <w:pPr>
        <w:spacing w:line="360" w:lineRule="auto"/>
        <w:rPr>
          <w:rFonts w:ascii="Arial" w:hAnsi="Arial" w:cs="Arial"/>
          <w:noProof w:val="0"/>
          <w:sz w:val="24"/>
          <w:szCs w:val="24"/>
          <w:lang w:eastAsia="en-US"/>
        </w:rPr>
      </w:pPr>
    </w:p>
    <w:p w14:paraId="330BB433" w14:textId="2760FF17" w:rsidR="002F5077" w:rsidRDefault="005903CB" w:rsidP="00EF4BC3">
      <w:pPr>
        <w:spacing w:line="360" w:lineRule="auto"/>
        <w:jc w:val="both"/>
        <w:rPr>
          <w:rFonts w:ascii="Arial" w:hAnsi="Arial" w:cs="Arial"/>
          <w:sz w:val="24"/>
          <w:szCs w:val="24"/>
        </w:rPr>
      </w:pPr>
      <w:r>
        <w:rPr>
          <w:rFonts w:ascii="Arial" w:hAnsi="Arial" w:cs="Arial"/>
          <w:sz w:val="24"/>
          <w:szCs w:val="24"/>
        </w:rPr>
        <w:t>În data de 7 mai</w:t>
      </w:r>
      <w:r w:rsidR="002F5077">
        <w:rPr>
          <w:rFonts w:ascii="Arial" w:hAnsi="Arial" w:cs="Arial"/>
          <w:sz w:val="24"/>
          <w:szCs w:val="24"/>
        </w:rPr>
        <w:t xml:space="preserve">, Asocierea RER Vest – RETIM </w:t>
      </w:r>
      <w:r>
        <w:rPr>
          <w:rFonts w:ascii="Arial" w:hAnsi="Arial" w:cs="Arial"/>
          <w:sz w:val="24"/>
          <w:szCs w:val="24"/>
        </w:rPr>
        <w:t>a demarat</w:t>
      </w:r>
      <w:r w:rsidR="002F5077">
        <w:rPr>
          <w:rFonts w:ascii="Arial" w:hAnsi="Arial" w:cs="Arial"/>
          <w:sz w:val="24"/>
          <w:szCs w:val="24"/>
        </w:rPr>
        <w:t xml:space="preserve"> o campanie de colectare a deșeurilor voluminoase și periculoase în ZONA 2 a județului Alba, respectiv în </w:t>
      </w:r>
      <w:r w:rsidR="002F5077" w:rsidRPr="002F5077">
        <w:rPr>
          <w:rFonts w:ascii="Arial" w:hAnsi="Arial" w:cs="Arial"/>
          <w:b/>
          <w:bCs/>
          <w:sz w:val="24"/>
          <w:szCs w:val="24"/>
        </w:rPr>
        <w:t>orașele Sebeș, Cugir, respectiv comunele Daia Română, Cut, Șpring, Doștat, Gârbova, Câlnic, Săsciori, Pianu, Săliștea, Blandiana, Vințu de Jos, Ceru-Băcăinți, Șibot și Șugag</w:t>
      </w:r>
      <w:r w:rsidR="002F5077" w:rsidRPr="00EF4BC3">
        <w:rPr>
          <w:rFonts w:ascii="Arial" w:hAnsi="Arial" w:cs="Arial"/>
          <w:sz w:val="24"/>
          <w:szCs w:val="24"/>
        </w:rPr>
        <w:t>.</w:t>
      </w:r>
    </w:p>
    <w:p w14:paraId="7CC5CAD0" w14:textId="77777777" w:rsidR="002F5077" w:rsidRDefault="002F5077" w:rsidP="00EF4BC3">
      <w:pPr>
        <w:spacing w:line="360" w:lineRule="auto"/>
        <w:jc w:val="both"/>
        <w:rPr>
          <w:rFonts w:ascii="Arial" w:hAnsi="Arial" w:cs="Arial"/>
          <w:sz w:val="24"/>
          <w:szCs w:val="24"/>
        </w:rPr>
      </w:pPr>
    </w:p>
    <w:p w14:paraId="4DD5DDD6" w14:textId="2905B92B" w:rsidR="00DA194B" w:rsidRPr="00EF4BC3" w:rsidRDefault="00EF4BC3" w:rsidP="00EF4BC3">
      <w:pPr>
        <w:spacing w:line="360" w:lineRule="auto"/>
        <w:jc w:val="both"/>
        <w:rPr>
          <w:rFonts w:ascii="Arial" w:hAnsi="Arial" w:cs="Arial"/>
          <w:sz w:val="24"/>
          <w:szCs w:val="24"/>
        </w:rPr>
      </w:pPr>
      <w:r w:rsidRPr="00EF4BC3">
        <w:rPr>
          <w:rFonts w:ascii="Arial" w:hAnsi="Arial" w:cs="Arial"/>
          <w:sz w:val="24"/>
          <w:szCs w:val="24"/>
        </w:rPr>
        <w:t>Le reamintim clienților noștri că a</w:t>
      </w:r>
      <w:r w:rsidR="00DA194B" w:rsidRPr="00EF4BC3">
        <w:rPr>
          <w:rFonts w:ascii="Arial" w:hAnsi="Arial" w:cs="Arial"/>
          <w:sz w:val="24"/>
          <w:szCs w:val="24"/>
        </w:rPr>
        <w:t xml:space="preserve">stfel de deșeuri </w:t>
      </w:r>
      <w:r w:rsidR="00DA194B" w:rsidRPr="00513461">
        <w:rPr>
          <w:rFonts w:ascii="Arial" w:hAnsi="Arial" w:cs="Arial"/>
          <w:b/>
          <w:bCs/>
          <w:sz w:val="24"/>
          <w:szCs w:val="24"/>
        </w:rPr>
        <w:t xml:space="preserve">NU </w:t>
      </w:r>
      <w:r w:rsidR="00DA194B" w:rsidRPr="002F5077">
        <w:rPr>
          <w:rFonts w:ascii="Arial" w:hAnsi="Arial" w:cs="Arial"/>
          <w:sz w:val="24"/>
          <w:szCs w:val="24"/>
        </w:rPr>
        <w:t xml:space="preserve">se depozitează în sau lângă recipientele de colectare a deșeurilor menajere și este interzisă abandonarea </w:t>
      </w:r>
      <w:r w:rsidRPr="002F5077">
        <w:rPr>
          <w:rFonts w:ascii="Arial" w:hAnsi="Arial" w:cs="Arial"/>
          <w:sz w:val="24"/>
          <w:szCs w:val="24"/>
        </w:rPr>
        <w:t xml:space="preserve">acestora </w:t>
      </w:r>
      <w:r w:rsidR="00DA194B" w:rsidRPr="002F5077">
        <w:rPr>
          <w:rFonts w:ascii="Arial" w:hAnsi="Arial" w:cs="Arial"/>
          <w:sz w:val="24"/>
          <w:szCs w:val="24"/>
        </w:rPr>
        <w:t xml:space="preserve">în locuri neamenajate. </w:t>
      </w:r>
      <w:r w:rsidR="00DA194B" w:rsidRPr="00EF4BC3">
        <w:rPr>
          <w:rFonts w:ascii="Arial" w:hAnsi="Arial" w:cs="Arial"/>
          <w:sz w:val="24"/>
          <w:szCs w:val="24"/>
        </w:rPr>
        <w:t xml:space="preserve">Soluția legală și gratuită de debarasare a acestor deșeuri este predarea lor la containerele speciale ale Asocierii RER Vest - RETIM în cadrul unor astfel de campanii trimestriale. </w:t>
      </w:r>
    </w:p>
    <w:p w14:paraId="20AC38A1" w14:textId="77777777" w:rsidR="00DA194B" w:rsidRPr="00EF4BC3" w:rsidRDefault="00DA194B" w:rsidP="00EF4BC3">
      <w:pPr>
        <w:spacing w:line="360" w:lineRule="auto"/>
        <w:jc w:val="both"/>
        <w:rPr>
          <w:rFonts w:ascii="Arial" w:hAnsi="Arial" w:cs="Arial"/>
          <w:sz w:val="24"/>
          <w:szCs w:val="24"/>
        </w:rPr>
      </w:pPr>
    </w:p>
    <w:p w14:paraId="07869577" w14:textId="340129A8" w:rsidR="00E15396" w:rsidRPr="001D483A" w:rsidRDefault="008A1D5E" w:rsidP="00EF4BC3">
      <w:pPr>
        <w:spacing w:line="360" w:lineRule="auto"/>
        <w:rPr>
          <w:rFonts w:ascii="Arial" w:hAnsi="Arial" w:cs="Arial"/>
          <w:b/>
          <w:bCs/>
          <w:sz w:val="24"/>
          <w:szCs w:val="24"/>
        </w:rPr>
      </w:pPr>
      <w:r w:rsidRPr="008A1D5E">
        <w:rPr>
          <w:rFonts w:ascii="Arial" w:hAnsi="Arial" w:cs="Arial"/>
          <w:sz w:val="24"/>
          <w:szCs w:val="24"/>
        </w:rPr>
        <w:t xml:space="preserve">Campania </w:t>
      </w:r>
      <w:r w:rsidR="00200CE5">
        <w:rPr>
          <w:rFonts w:ascii="Arial" w:hAnsi="Arial" w:cs="Arial"/>
          <w:sz w:val="24"/>
          <w:szCs w:val="24"/>
        </w:rPr>
        <w:t xml:space="preserve">de colectarea a deșeurilor voluminoase </w:t>
      </w:r>
      <w:r w:rsidR="002F5077">
        <w:rPr>
          <w:rFonts w:ascii="Arial" w:hAnsi="Arial" w:cs="Arial"/>
          <w:sz w:val="24"/>
          <w:szCs w:val="24"/>
        </w:rPr>
        <w:t>se va desfășura</w:t>
      </w:r>
      <w:r w:rsidR="001D483A">
        <w:rPr>
          <w:rFonts w:ascii="Arial" w:hAnsi="Arial" w:cs="Arial"/>
          <w:sz w:val="24"/>
          <w:szCs w:val="24"/>
        </w:rPr>
        <w:t xml:space="preserve"> în perioada </w:t>
      </w:r>
      <w:r w:rsidR="005903CB">
        <w:rPr>
          <w:rFonts w:ascii="Arial" w:hAnsi="Arial" w:cs="Arial"/>
          <w:sz w:val="24"/>
          <w:szCs w:val="24"/>
        </w:rPr>
        <w:t>7 mai 2024 – 27 iunie 2024</w:t>
      </w:r>
      <w:r w:rsidR="00200CE5">
        <w:rPr>
          <w:rFonts w:ascii="Arial" w:hAnsi="Arial" w:cs="Arial"/>
          <w:sz w:val="24"/>
          <w:szCs w:val="24"/>
        </w:rPr>
        <w:t xml:space="preserve">, iar cea pentru periculoase între </w:t>
      </w:r>
      <w:r w:rsidR="005903CB">
        <w:rPr>
          <w:rFonts w:ascii="Arial" w:hAnsi="Arial" w:cs="Arial"/>
          <w:sz w:val="24"/>
          <w:szCs w:val="24"/>
        </w:rPr>
        <w:t>28 iunie</w:t>
      </w:r>
      <w:r w:rsidR="001D483A">
        <w:rPr>
          <w:rFonts w:ascii="Arial" w:hAnsi="Arial" w:cs="Arial"/>
          <w:sz w:val="24"/>
          <w:szCs w:val="24"/>
        </w:rPr>
        <w:t>–</w:t>
      </w:r>
      <w:r w:rsidR="005903CB">
        <w:rPr>
          <w:rFonts w:ascii="Arial" w:hAnsi="Arial" w:cs="Arial"/>
          <w:sz w:val="24"/>
          <w:szCs w:val="24"/>
        </w:rPr>
        <w:t>30 iulie</w:t>
      </w:r>
      <w:r w:rsidR="001D483A">
        <w:rPr>
          <w:rFonts w:ascii="Arial" w:hAnsi="Arial" w:cs="Arial"/>
          <w:sz w:val="24"/>
          <w:szCs w:val="24"/>
        </w:rPr>
        <w:t xml:space="preserve"> 2024, iar informațiile referitoare la locațiile și datele amplasării containerelor destinate acestor tipuri de deșeuri pot fi consultate și pe site-ul RER Vest, accesând link-ul următor:  </w:t>
      </w:r>
      <w:hyperlink r:id="rId8" w:history="1">
        <w:r w:rsidR="001D483A" w:rsidRPr="00324A03">
          <w:rPr>
            <w:rStyle w:val="Hyperlink"/>
            <w:rFonts w:ascii="Arial" w:hAnsi="Arial" w:cs="Arial"/>
            <w:sz w:val="24"/>
            <w:szCs w:val="24"/>
          </w:rPr>
          <w:t>https://rervest.ro/alba/campanii-sezoniere/</w:t>
        </w:r>
      </w:hyperlink>
      <w:r w:rsidR="001D483A">
        <w:rPr>
          <w:rFonts w:ascii="Arial" w:hAnsi="Arial" w:cs="Arial"/>
          <w:sz w:val="24"/>
          <w:szCs w:val="24"/>
        </w:rPr>
        <w:t xml:space="preserve"> </w:t>
      </w:r>
    </w:p>
    <w:p w14:paraId="51209D44" w14:textId="77777777" w:rsidR="00DA194B" w:rsidRPr="00EF4BC3" w:rsidRDefault="00DA194B" w:rsidP="00EF4BC3">
      <w:pPr>
        <w:spacing w:line="360" w:lineRule="auto"/>
        <w:rPr>
          <w:rFonts w:ascii="Arial" w:hAnsi="Arial" w:cs="Arial"/>
          <w:sz w:val="24"/>
          <w:szCs w:val="24"/>
        </w:rPr>
      </w:pPr>
    </w:p>
    <w:p w14:paraId="6B3E2BE4" w14:textId="77777777" w:rsidR="00DA194B" w:rsidRPr="00EF4BC3" w:rsidRDefault="00DA194B" w:rsidP="00EF4BC3">
      <w:pPr>
        <w:shd w:val="clear" w:color="auto" w:fill="FFFFFF"/>
        <w:spacing w:line="360" w:lineRule="auto"/>
        <w:jc w:val="both"/>
        <w:rPr>
          <w:rFonts w:ascii="Arial" w:hAnsi="Arial" w:cs="Arial"/>
          <w:b/>
          <w:bCs/>
          <w:sz w:val="24"/>
          <w:szCs w:val="24"/>
          <w:u w:val="single"/>
        </w:rPr>
      </w:pPr>
      <w:r w:rsidRPr="00EF4BC3">
        <w:rPr>
          <w:rFonts w:ascii="Arial" w:hAnsi="Arial" w:cs="Arial"/>
          <w:b/>
          <w:bCs/>
          <w:sz w:val="24"/>
          <w:szCs w:val="24"/>
          <w:u w:val="single"/>
        </w:rPr>
        <w:t xml:space="preserve">CINE poate preda deşeuri voluminoase </w:t>
      </w:r>
    </w:p>
    <w:p w14:paraId="4B26C323" w14:textId="77777777" w:rsidR="00DA194B" w:rsidRPr="00771A69" w:rsidRDefault="00DA194B" w:rsidP="00EF4BC3">
      <w:pPr>
        <w:shd w:val="clear" w:color="auto" w:fill="FFFFFF"/>
        <w:spacing w:line="360" w:lineRule="auto"/>
        <w:jc w:val="both"/>
        <w:rPr>
          <w:rFonts w:ascii="Arial" w:hAnsi="Arial" w:cs="Arial"/>
          <w:b/>
          <w:bCs/>
          <w:sz w:val="24"/>
          <w:szCs w:val="24"/>
        </w:rPr>
      </w:pPr>
      <w:r w:rsidRPr="00EF4BC3">
        <w:rPr>
          <w:rFonts w:ascii="Arial" w:hAnsi="Arial" w:cs="Arial"/>
          <w:sz w:val="24"/>
          <w:szCs w:val="24"/>
        </w:rPr>
        <w:t xml:space="preserve">Cetățenii din localităţie menţionate mai sus </w:t>
      </w:r>
      <w:r w:rsidRPr="00771A69">
        <w:rPr>
          <w:rFonts w:ascii="Arial" w:hAnsi="Arial" w:cs="Arial"/>
          <w:b/>
          <w:bCs/>
          <w:sz w:val="24"/>
          <w:szCs w:val="24"/>
        </w:rPr>
        <w:t>pot depune prin aport voluntar și gratuit deșeurile voluminoase în containerele special puse la dispoziție în punctele de colectare și între orele menționate în tabel</w:t>
      </w:r>
      <w:r w:rsidR="00771A69" w:rsidRPr="00771A69">
        <w:rPr>
          <w:rFonts w:ascii="Arial" w:hAnsi="Arial" w:cs="Arial"/>
          <w:b/>
          <w:bCs/>
          <w:sz w:val="24"/>
          <w:szCs w:val="24"/>
        </w:rPr>
        <w:t>ele</w:t>
      </w:r>
      <w:r w:rsidRPr="00771A69">
        <w:rPr>
          <w:rFonts w:ascii="Arial" w:hAnsi="Arial" w:cs="Arial"/>
          <w:b/>
          <w:bCs/>
          <w:sz w:val="24"/>
          <w:szCs w:val="24"/>
        </w:rPr>
        <w:t xml:space="preserve"> de mai jos. </w:t>
      </w:r>
    </w:p>
    <w:p w14:paraId="2918F28D" w14:textId="77777777" w:rsidR="00DA194B" w:rsidRPr="00EF4BC3" w:rsidRDefault="00DA194B" w:rsidP="00EF4BC3">
      <w:pPr>
        <w:shd w:val="clear" w:color="auto" w:fill="FFFFFF"/>
        <w:spacing w:line="360" w:lineRule="auto"/>
        <w:jc w:val="both"/>
        <w:rPr>
          <w:rFonts w:ascii="Arial" w:hAnsi="Arial" w:cs="Arial"/>
          <w:sz w:val="24"/>
          <w:szCs w:val="24"/>
        </w:rPr>
      </w:pPr>
    </w:p>
    <w:p w14:paraId="3D1DE716" w14:textId="77777777" w:rsidR="00DA194B" w:rsidRPr="00EF4BC3" w:rsidRDefault="00DA194B" w:rsidP="00EF4BC3">
      <w:pPr>
        <w:shd w:val="clear" w:color="auto" w:fill="FFFFFF"/>
        <w:spacing w:line="360" w:lineRule="auto"/>
        <w:jc w:val="both"/>
        <w:rPr>
          <w:rFonts w:ascii="Arial" w:hAnsi="Arial" w:cs="Arial"/>
          <w:b/>
          <w:bCs/>
          <w:sz w:val="24"/>
          <w:szCs w:val="24"/>
          <w:u w:val="single"/>
        </w:rPr>
      </w:pPr>
      <w:r w:rsidRPr="00EF4BC3">
        <w:rPr>
          <w:rFonts w:ascii="Arial" w:hAnsi="Arial" w:cs="Arial"/>
          <w:b/>
          <w:bCs/>
          <w:sz w:val="24"/>
          <w:szCs w:val="24"/>
          <w:u w:val="single"/>
        </w:rPr>
        <w:t>CE se poate preda în cadrul acestei campanii</w:t>
      </w:r>
    </w:p>
    <w:p w14:paraId="3F3704FE"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b/>
          <w:bCs/>
          <w:sz w:val="24"/>
          <w:szCs w:val="24"/>
        </w:rPr>
        <w:t xml:space="preserve">DEŞEURILE VOLUMINOASE </w:t>
      </w:r>
      <w:r w:rsidRPr="00EF4BC3">
        <w:rPr>
          <w:rFonts w:ascii="Arial" w:hAnsi="Arial" w:cs="Arial"/>
          <w:sz w:val="24"/>
          <w:szCs w:val="24"/>
        </w:rPr>
        <w:t xml:space="preserve">sunt: </w:t>
      </w:r>
    </w:p>
    <w:p w14:paraId="3CC7617C"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mobilier, comode, mese de cafea, de toaletă, decorative</w:t>
      </w:r>
    </w:p>
    <w:p w14:paraId="47F3AA63" w14:textId="77777777" w:rsidR="005130AE" w:rsidRDefault="005130AE" w:rsidP="00EF4BC3">
      <w:pPr>
        <w:shd w:val="clear" w:color="auto" w:fill="FFFFFF"/>
        <w:spacing w:line="360" w:lineRule="auto"/>
        <w:jc w:val="both"/>
        <w:rPr>
          <w:rFonts w:ascii="Arial" w:hAnsi="Arial" w:cs="Arial"/>
          <w:sz w:val="24"/>
          <w:szCs w:val="24"/>
        </w:rPr>
      </w:pPr>
    </w:p>
    <w:p w14:paraId="69DC77B9"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xml:space="preserve">-           mese de scris pentru copii, rafturi, etajere, etajere metalice </w:t>
      </w:r>
    </w:p>
    <w:p w14:paraId="49E9D34A"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covoare, carpete, preșuri</w:t>
      </w:r>
    </w:p>
    <w:p w14:paraId="2A5BAAFB"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canapele, paturi, dulapuri, birouri, scaune, banchete, saltele</w:t>
      </w:r>
    </w:p>
    <w:p w14:paraId="19BB24A5"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lastRenderedPageBreak/>
        <w:t xml:space="preserve">-           oale </w:t>
      </w:r>
    </w:p>
    <w:p w14:paraId="3B799007"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ceasuri</w:t>
      </w:r>
    </w:p>
    <w:p w14:paraId="41973E53"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xml:space="preserve">-           perdele, draperii </w:t>
      </w:r>
    </w:p>
    <w:p w14:paraId="623ED190"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dulapuri de baie, suporturi prosoape</w:t>
      </w:r>
    </w:p>
    <w:p w14:paraId="1EFA723B"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xml:space="preserve">-           lustre, tablouri </w:t>
      </w:r>
    </w:p>
    <w:p w14:paraId="08FD1103" w14:textId="77777777" w:rsidR="00DA194B" w:rsidRPr="00EF4BC3" w:rsidRDefault="00183C8D"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w:t>
      </w:r>
      <w:r w:rsidR="00DA194B" w:rsidRPr="00EF4BC3">
        <w:rPr>
          <w:rFonts w:ascii="Arial" w:hAnsi="Arial" w:cs="Arial"/>
          <w:sz w:val="24"/>
          <w:szCs w:val="24"/>
        </w:rPr>
        <w:t>           obiecte sanitare, căzi, vase de toaletă, robineți, cabine de duș (fără sticlă), suporturi, baterii sanitare, chiuvete, bideuri, capace vase de toaletă, lavoare, rezervoare de apă pentru vase de toaletă</w:t>
      </w:r>
    </w:p>
    <w:p w14:paraId="6F824FD1"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sz w:val="24"/>
          <w:szCs w:val="24"/>
        </w:rPr>
        <w:t>-          obiecte mari de folosință îndelungată precum: calorifere fontă, calorifere aluminiu, uși, tocuri de uși şi tocuri de geamuri (fără sticlă), fără tâmplărie PVC.</w:t>
      </w:r>
    </w:p>
    <w:p w14:paraId="753CF9D0" w14:textId="77777777" w:rsidR="00DA194B" w:rsidRPr="00EF4BC3" w:rsidRDefault="00DA194B" w:rsidP="00EF4BC3">
      <w:pPr>
        <w:shd w:val="clear" w:color="auto" w:fill="FFFFFF"/>
        <w:spacing w:line="360" w:lineRule="auto"/>
        <w:jc w:val="both"/>
        <w:rPr>
          <w:rFonts w:ascii="Arial" w:hAnsi="Arial" w:cs="Arial"/>
          <w:b/>
          <w:bCs/>
          <w:sz w:val="24"/>
          <w:szCs w:val="24"/>
          <w:u w:val="single"/>
        </w:rPr>
      </w:pPr>
    </w:p>
    <w:p w14:paraId="3F488830" w14:textId="77777777" w:rsidR="00DA194B" w:rsidRPr="00EF4BC3" w:rsidRDefault="00DA194B" w:rsidP="00EF4BC3">
      <w:pPr>
        <w:shd w:val="clear" w:color="auto" w:fill="FFFFFF"/>
        <w:spacing w:line="360" w:lineRule="auto"/>
        <w:jc w:val="both"/>
        <w:rPr>
          <w:rFonts w:ascii="Arial" w:hAnsi="Arial" w:cs="Arial"/>
          <w:sz w:val="24"/>
          <w:szCs w:val="24"/>
        </w:rPr>
      </w:pPr>
      <w:r w:rsidRPr="00EF4BC3">
        <w:rPr>
          <w:rFonts w:ascii="Arial" w:hAnsi="Arial" w:cs="Arial"/>
          <w:b/>
          <w:bCs/>
          <w:sz w:val="24"/>
          <w:szCs w:val="24"/>
        </w:rPr>
        <w:t xml:space="preserve">DEŞEURILE PERICULOASE din menajer </w:t>
      </w:r>
      <w:r w:rsidRPr="00EF4BC3">
        <w:rPr>
          <w:rFonts w:ascii="Arial" w:hAnsi="Arial" w:cs="Arial"/>
          <w:sz w:val="24"/>
          <w:szCs w:val="24"/>
        </w:rPr>
        <w:t xml:space="preserve">sunt: </w:t>
      </w:r>
    </w:p>
    <w:p w14:paraId="5C9D7B5E"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ambalaje care conţin reziduri de substanţe periculoase sau sunt contaminate cu substanţe periculoas</w:t>
      </w:r>
      <w:r w:rsidR="001F1984" w:rsidRPr="00EF4BC3">
        <w:rPr>
          <w:rFonts w:ascii="Arial" w:hAnsi="Arial" w:cs="Arial"/>
          <w:sz w:val="24"/>
          <w:szCs w:val="24"/>
        </w:rPr>
        <w:t>e</w:t>
      </w:r>
    </w:p>
    <w:p w14:paraId="2092AE80"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materiale de lustruire şi îmbrăcăminte de protecţie contaminate cu substanţe periculoase</w:t>
      </w:r>
    </w:p>
    <w:p w14:paraId="363D26D0"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vopsele, cerneluri, adezivi şi răşini cu conţinut de substanţe periculoase</w:t>
      </w:r>
    </w:p>
    <w:p w14:paraId="6306C9E2"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xml:space="preserve">-           baterii şi acumulatori cu plumb, mercur, Ni-Cd, alcaline sau baterii şi acumulatori nesortate conţinând aceste baterii </w:t>
      </w:r>
    </w:p>
    <w:p w14:paraId="167BD884"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xml:space="preserve">-           solvenţi, acizi, alcali </w:t>
      </w:r>
    </w:p>
    <w:p w14:paraId="282E0BA2"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uleiuri şi grăsimi, altele decât cele comestibile</w:t>
      </w:r>
    </w:p>
    <w:p w14:paraId="09810ADD"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detergenţi cu conţinut de substanţe periculoase</w:t>
      </w:r>
    </w:p>
    <w:p w14:paraId="368A7EED"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spray-uri de vopsea, spumă</w:t>
      </w:r>
    </w:p>
    <w:p w14:paraId="7A341E3D"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xml:space="preserve">-           deşeuri din lemn cu conţinut de substanţe periculoase, </w:t>
      </w:r>
    </w:p>
    <w:p w14:paraId="3C7909B0"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pesticide</w:t>
      </w:r>
    </w:p>
    <w:p w14:paraId="0A7584C6"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deşeuri de vopsele şi lacuri cu conținut de solvenți organici sau alte substanțe periculoase.</w:t>
      </w:r>
    </w:p>
    <w:p w14:paraId="59735F9E" w14:textId="77777777" w:rsidR="00DA194B" w:rsidRPr="00EF4BC3" w:rsidRDefault="00DA194B" w:rsidP="00EF4BC3">
      <w:pPr>
        <w:shd w:val="clear" w:color="auto" w:fill="FFFFFF"/>
        <w:spacing w:line="360" w:lineRule="auto"/>
        <w:jc w:val="both"/>
        <w:rPr>
          <w:rFonts w:ascii="Arial" w:hAnsi="Arial" w:cs="Arial"/>
          <w:b/>
          <w:bCs/>
          <w:sz w:val="24"/>
          <w:szCs w:val="24"/>
          <w:u w:val="single"/>
        </w:rPr>
      </w:pPr>
    </w:p>
    <w:p w14:paraId="3A281960" w14:textId="77777777" w:rsidR="00DA194B" w:rsidRPr="00EF4BC3" w:rsidRDefault="00DA194B" w:rsidP="00EF4BC3">
      <w:pPr>
        <w:shd w:val="clear" w:color="auto" w:fill="FFFFFF"/>
        <w:spacing w:line="360" w:lineRule="auto"/>
        <w:jc w:val="both"/>
        <w:rPr>
          <w:rFonts w:ascii="Arial" w:hAnsi="Arial" w:cs="Arial"/>
          <w:b/>
          <w:bCs/>
          <w:sz w:val="24"/>
          <w:szCs w:val="24"/>
          <w:u w:val="single"/>
        </w:rPr>
      </w:pPr>
      <w:r w:rsidRPr="00EF4BC3">
        <w:rPr>
          <w:rFonts w:ascii="Arial" w:hAnsi="Arial" w:cs="Arial"/>
          <w:b/>
          <w:bCs/>
          <w:sz w:val="24"/>
          <w:szCs w:val="24"/>
          <w:u w:val="single"/>
        </w:rPr>
        <w:t>CE NU se poate preda în cadrul acestei campanii</w:t>
      </w:r>
    </w:p>
    <w:p w14:paraId="2F623DB6" w14:textId="77777777" w:rsidR="00EF4BC3" w:rsidRDefault="00000000" w:rsidP="00EF4BC3">
      <w:pPr>
        <w:numPr>
          <w:ilvl w:val="0"/>
          <w:numId w:val="7"/>
        </w:numPr>
        <w:shd w:val="clear" w:color="auto" w:fill="FFFFFF"/>
        <w:spacing w:line="360" w:lineRule="auto"/>
        <w:jc w:val="both"/>
        <w:rPr>
          <w:rFonts w:ascii="Arial" w:eastAsia="Times New Roman" w:hAnsi="Arial" w:cs="Arial"/>
          <w:sz w:val="24"/>
          <w:szCs w:val="24"/>
        </w:rPr>
      </w:pPr>
      <w:sdt>
        <w:sdtPr>
          <w:rPr>
            <w:rFonts w:ascii="Arial" w:eastAsia="Times New Roman" w:hAnsi="Arial" w:cs="Arial"/>
            <w:sz w:val="24"/>
            <w:szCs w:val="24"/>
          </w:rPr>
          <w:tag w:val="goog_rdk_1"/>
          <w:id w:val="1650319943"/>
        </w:sdtPr>
        <w:sdtContent>
          <w:r w:rsidR="00DA194B" w:rsidRPr="00EF4BC3">
            <w:rPr>
              <w:rFonts w:ascii="Arial" w:eastAsia="Times New Roman" w:hAnsi="Arial" w:cs="Arial"/>
              <w:sz w:val="24"/>
              <w:szCs w:val="24"/>
            </w:rPr>
            <w:t>NU se preiau alte categorii de deșeuri: reziduale, reciclabile, de construcții, vegetale</w:t>
          </w:r>
          <w:r w:rsidR="004C3F26">
            <w:rPr>
              <w:rFonts w:ascii="Arial" w:eastAsia="Times New Roman" w:hAnsi="Arial" w:cs="Arial"/>
              <w:sz w:val="24"/>
              <w:szCs w:val="24"/>
            </w:rPr>
            <w:t>;</w:t>
          </w:r>
        </w:sdtContent>
      </w:sdt>
    </w:p>
    <w:p w14:paraId="66E62DAE" w14:textId="77777777" w:rsidR="00DA194B" w:rsidRPr="00EF4BC3" w:rsidRDefault="00DA194B" w:rsidP="00EF4BC3">
      <w:pPr>
        <w:numPr>
          <w:ilvl w:val="0"/>
          <w:numId w:val="7"/>
        </w:numPr>
        <w:shd w:val="clear" w:color="auto" w:fill="FFFFFF"/>
        <w:spacing w:line="360" w:lineRule="auto"/>
        <w:jc w:val="both"/>
        <w:rPr>
          <w:rFonts w:ascii="Arial" w:eastAsia="Times New Roman" w:hAnsi="Arial" w:cs="Arial"/>
          <w:sz w:val="24"/>
          <w:szCs w:val="24"/>
        </w:rPr>
      </w:pPr>
      <w:r w:rsidRPr="00EF4BC3">
        <w:rPr>
          <w:rFonts w:ascii="Arial" w:eastAsia="Times New Roman" w:hAnsi="Arial" w:cs="Arial"/>
          <w:sz w:val="24"/>
          <w:szCs w:val="24"/>
        </w:rPr>
        <w:lastRenderedPageBreak/>
        <w:t>NU se colectează deșeurile de echipamente electrice, electronice și electrocasnice (televizoare, mașini de spălat, frigidere, radio-uri, echipamente de iluminat, computere, etc)</w:t>
      </w:r>
      <w:r w:rsidR="004C3F26">
        <w:rPr>
          <w:rFonts w:ascii="Arial" w:eastAsia="Times New Roman" w:hAnsi="Arial" w:cs="Arial"/>
          <w:sz w:val="24"/>
          <w:szCs w:val="24"/>
        </w:rPr>
        <w:t xml:space="preserve">. </w:t>
      </w:r>
    </w:p>
    <w:p w14:paraId="27735FC1" w14:textId="77777777" w:rsidR="00EF4BC3" w:rsidRDefault="00EF4BC3" w:rsidP="00EF4BC3">
      <w:pPr>
        <w:spacing w:line="360" w:lineRule="auto"/>
        <w:jc w:val="both"/>
        <w:rPr>
          <w:rFonts w:ascii="Arial" w:hAnsi="Arial" w:cs="Arial"/>
          <w:sz w:val="24"/>
          <w:szCs w:val="24"/>
        </w:rPr>
      </w:pPr>
    </w:p>
    <w:p w14:paraId="102D260A" w14:textId="77777777" w:rsidR="00DA194B" w:rsidRPr="00EF4BC3" w:rsidRDefault="00DA194B" w:rsidP="00EF4BC3">
      <w:pPr>
        <w:spacing w:line="360" w:lineRule="auto"/>
        <w:jc w:val="both"/>
        <w:rPr>
          <w:rFonts w:ascii="Arial" w:hAnsi="Arial" w:cs="Arial"/>
          <w:sz w:val="24"/>
          <w:szCs w:val="24"/>
        </w:rPr>
      </w:pPr>
      <w:r w:rsidRPr="00EF4BC3">
        <w:rPr>
          <w:rFonts w:ascii="Arial" w:hAnsi="Arial" w:cs="Arial"/>
          <w:sz w:val="24"/>
          <w:szCs w:val="24"/>
        </w:rPr>
        <w:t xml:space="preserve">De asemenea, operatorii serviciului de </w:t>
      </w:r>
      <w:r w:rsidRPr="00EF4BC3">
        <w:rPr>
          <w:rFonts w:ascii="Arial" w:hAnsi="Arial" w:cs="Arial"/>
          <w:b/>
          <w:bCs/>
          <w:sz w:val="24"/>
          <w:szCs w:val="24"/>
        </w:rPr>
        <w:t>Call Center</w:t>
      </w:r>
      <w:r w:rsidRPr="00EF4BC3">
        <w:rPr>
          <w:rFonts w:ascii="Arial" w:hAnsi="Arial" w:cs="Arial"/>
          <w:sz w:val="24"/>
          <w:szCs w:val="24"/>
        </w:rPr>
        <w:t xml:space="preserve"> sunt disponibili la numărul </w:t>
      </w:r>
      <w:r w:rsidRPr="00EF4BC3">
        <w:rPr>
          <w:rFonts w:ascii="Arial" w:hAnsi="Arial" w:cs="Arial"/>
          <w:b/>
          <w:bCs/>
          <w:sz w:val="24"/>
          <w:szCs w:val="24"/>
        </w:rPr>
        <w:t>+40 374 885 694</w:t>
      </w:r>
      <w:r w:rsidRPr="00EF4BC3">
        <w:rPr>
          <w:rFonts w:ascii="Arial" w:hAnsi="Arial" w:cs="Arial"/>
          <w:sz w:val="24"/>
          <w:szCs w:val="24"/>
        </w:rPr>
        <w:t xml:space="preserve">, de luni până vineri, între orele 07.00 – 19.00. </w:t>
      </w:r>
    </w:p>
    <w:p w14:paraId="2F190694" w14:textId="77777777" w:rsidR="004C78D8" w:rsidRPr="00EF4BC3" w:rsidRDefault="004C78D8" w:rsidP="00EF4BC3">
      <w:pPr>
        <w:spacing w:after="160" w:line="360" w:lineRule="auto"/>
        <w:jc w:val="both"/>
        <w:rPr>
          <w:rFonts w:ascii="Arial" w:hAnsi="Arial" w:cs="Arial"/>
          <w:sz w:val="24"/>
          <w:szCs w:val="24"/>
        </w:rPr>
      </w:pPr>
    </w:p>
    <w:p w14:paraId="6E1E3767" w14:textId="77777777" w:rsidR="004253D9" w:rsidRPr="00EF4BC3" w:rsidRDefault="004253D9" w:rsidP="00EF4BC3">
      <w:pPr>
        <w:spacing w:after="160" w:line="360" w:lineRule="auto"/>
        <w:jc w:val="both"/>
        <w:rPr>
          <w:rFonts w:ascii="Arial" w:hAnsi="Arial" w:cs="Arial"/>
          <w:b/>
          <w:bCs/>
          <w:sz w:val="20"/>
          <w:szCs w:val="20"/>
        </w:rPr>
      </w:pPr>
      <w:r w:rsidRPr="00EF4BC3">
        <w:rPr>
          <w:rFonts w:ascii="Arial" w:hAnsi="Arial" w:cs="Arial"/>
          <w:b/>
          <w:bCs/>
          <w:sz w:val="20"/>
          <w:szCs w:val="20"/>
        </w:rPr>
        <w:t xml:space="preserve">Despre </w:t>
      </w:r>
      <w:r w:rsidR="004C78D8" w:rsidRPr="00EF4BC3">
        <w:rPr>
          <w:rFonts w:ascii="Arial" w:hAnsi="Arial" w:cs="Arial"/>
          <w:b/>
          <w:bCs/>
          <w:sz w:val="20"/>
          <w:szCs w:val="20"/>
        </w:rPr>
        <w:t xml:space="preserve">Asocierea RER Vest - RETIM Ecologic Service și </w:t>
      </w:r>
      <w:r w:rsidRPr="00EF4BC3">
        <w:rPr>
          <w:rFonts w:ascii="Arial" w:hAnsi="Arial" w:cs="Arial"/>
          <w:b/>
          <w:bCs/>
          <w:sz w:val="20"/>
          <w:szCs w:val="20"/>
        </w:rPr>
        <w:t xml:space="preserve">RER Group </w:t>
      </w:r>
    </w:p>
    <w:p w14:paraId="184049E1" w14:textId="77777777" w:rsidR="004C78D8" w:rsidRPr="00EF4BC3" w:rsidRDefault="00195206" w:rsidP="00EF4BC3">
      <w:pPr>
        <w:spacing w:after="160" w:line="360" w:lineRule="auto"/>
        <w:jc w:val="both"/>
        <w:rPr>
          <w:rFonts w:ascii="Arial" w:hAnsi="Arial" w:cs="Arial"/>
          <w:sz w:val="20"/>
          <w:szCs w:val="20"/>
        </w:rPr>
      </w:pPr>
      <w:r w:rsidRPr="00EF4BC3">
        <w:rPr>
          <w:rFonts w:ascii="Arial" w:hAnsi="Arial" w:cs="Arial"/>
          <w:b/>
          <w:bCs/>
          <w:sz w:val="20"/>
          <w:szCs w:val="20"/>
        </w:rPr>
        <w:t xml:space="preserve">Asocierea RER Vest SA – RETIM Ecologic Service </w:t>
      </w:r>
      <w:r w:rsidRPr="00EF4BC3">
        <w:rPr>
          <w:rFonts w:ascii="Arial" w:hAnsi="Arial" w:cs="Arial"/>
          <w:sz w:val="20"/>
          <w:szCs w:val="20"/>
        </w:rPr>
        <w:t>a fost înființată cu scopul de a oferi servicii de salubritate profesioniste locuitorilor din județul Alba. Astfel, în urma câștigării licitației organizată de ADI Salubris Alba</w:t>
      </w:r>
      <w:r w:rsidR="00FA78F4" w:rsidRPr="00EF4BC3">
        <w:rPr>
          <w:rFonts w:ascii="Arial" w:hAnsi="Arial" w:cs="Arial"/>
          <w:sz w:val="20"/>
          <w:szCs w:val="20"/>
        </w:rPr>
        <w:t xml:space="preserve">, </w:t>
      </w:r>
      <w:r w:rsidRPr="00EF4BC3">
        <w:rPr>
          <w:rFonts w:ascii="Arial" w:hAnsi="Arial" w:cs="Arial"/>
          <w:sz w:val="20"/>
          <w:szCs w:val="20"/>
        </w:rPr>
        <w:t>în anul 2019</w:t>
      </w:r>
      <w:r w:rsidR="00FA78F4" w:rsidRPr="00EF4BC3">
        <w:rPr>
          <w:rFonts w:ascii="Arial" w:hAnsi="Arial" w:cs="Arial"/>
          <w:sz w:val="20"/>
          <w:szCs w:val="20"/>
        </w:rPr>
        <w:t xml:space="preserve">, asocierea </w:t>
      </w:r>
      <w:r w:rsidRPr="00EF4BC3">
        <w:rPr>
          <w:rFonts w:ascii="Arial" w:hAnsi="Arial" w:cs="Arial"/>
          <w:sz w:val="20"/>
          <w:szCs w:val="20"/>
        </w:rPr>
        <w:t>este responsabilă de colectarea și sortarea deșeurilor din</w:t>
      </w:r>
      <w:r w:rsidR="00FA78F4" w:rsidRPr="00EF4BC3">
        <w:rPr>
          <w:rFonts w:ascii="Arial" w:hAnsi="Arial" w:cs="Arial"/>
          <w:sz w:val="20"/>
          <w:szCs w:val="20"/>
        </w:rPr>
        <w:t xml:space="preserve"> Zona 1: orașele Alba Iulia, Aiud, Ocna Mureș, Teiuș, respectiv comunele Ciugud, Berghin, Ohaba, Mihalț, Stremț, Galda de Jos, Cricău, Întregalde, Ighiu, Sântimbru, Râmeț, Rădești, Rimetea, Lopadea Nouă, Livezile, Mirăslău, Ponor, Hopârta, Fărău, Noșlac, Lunca Mureșului, Unirea, și Zona 2: orașele Sebeș, Cugir, respectiv comunele Daia,Cut, Spring, Doștat, Gârbova, Câlnic, Săsciori, Pianu, Săliștea, Blandiana, Vințu de Jos, Ceru-Băcăinți, Șibot, Șugag.</w:t>
      </w:r>
      <w:r w:rsidR="004C78D8" w:rsidRPr="00EF4BC3">
        <w:rPr>
          <w:rFonts w:ascii="Arial" w:hAnsi="Arial" w:cs="Arial"/>
          <w:sz w:val="20"/>
          <w:szCs w:val="20"/>
        </w:rPr>
        <w:t xml:space="preserve"> </w:t>
      </w:r>
    </w:p>
    <w:p w14:paraId="755F0019" w14:textId="77777777" w:rsidR="00C23016" w:rsidRPr="00EF4BC3" w:rsidRDefault="004C78D8" w:rsidP="00EF4BC3">
      <w:pPr>
        <w:spacing w:after="160" w:line="360" w:lineRule="auto"/>
        <w:jc w:val="both"/>
        <w:rPr>
          <w:rFonts w:ascii="Arial" w:hAnsi="Arial" w:cs="Arial"/>
          <w:sz w:val="20"/>
          <w:szCs w:val="20"/>
        </w:rPr>
      </w:pPr>
      <w:r w:rsidRPr="00EF4BC3">
        <w:rPr>
          <w:rFonts w:ascii="Arial" w:hAnsi="Arial" w:cs="Arial"/>
          <w:b/>
          <w:bCs/>
          <w:sz w:val="20"/>
          <w:szCs w:val="20"/>
        </w:rPr>
        <w:t>RER Group</w:t>
      </w:r>
      <w:r w:rsidRPr="00EF4BC3">
        <w:rPr>
          <w:rFonts w:ascii="Arial" w:hAnsi="Arial" w:cs="Arial"/>
          <w:sz w:val="20"/>
          <w:szCs w:val="20"/>
        </w:rPr>
        <w:t xml:space="preserve"> a fost înființat în anul 1994 de către concernul german RWE, desfășurând activități în domeniul salubrității, recuperării ecologice și reciclării. Grupul RER deține șapte companii – REBU, RETIM, RER Sud, RER Brăila, RER Vest, RER Servicii SRL și RER DATA, iar la finalul anului 2021 avea 2300 de angajați. </w:t>
      </w:r>
    </w:p>
    <w:p w14:paraId="5893A43C" w14:textId="77777777" w:rsidR="001F1984" w:rsidRPr="00EF4BC3" w:rsidRDefault="001F1984" w:rsidP="00EF4BC3">
      <w:pPr>
        <w:spacing w:after="160" w:line="360" w:lineRule="auto"/>
        <w:jc w:val="both"/>
        <w:rPr>
          <w:rFonts w:ascii="Arial" w:hAnsi="Arial" w:cs="Arial"/>
          <w:sz w:val="20"/>
          <w:szCs w:val="20"/>
        </w:rPr>
      </w:pPr>
    </w:p>
    <w:p w14:paraId="33107407" w14:textId="77777777" w:rsidR="001F1984" w:rsidRPr="00EF4BC3" w:rsidRDefault="001F1984" w:rsidP="00EF4BC3">
      <w:pPr>
        <w:spacing w:after="160" w:line="360" w:lineRule="auto"/>
        <w:jc w:val="both"/>
        <w:rPr>
          <w:rFonts w:ascii="Arial" w:hAnsi="Arial" w:cs="Arial"/>
          <w:sz w:val="20"/>
          <w:szCs w:val="20"/>
        </w:rPr>
      </w:pPr>
    </w:p>
    <w:sectPr w:rsidR="001F1984" w:rsidRPr="00EF4BC3" w:rsidSect="00267A2C">
      <w:headerReference w:type="default" r:id="rId9"/>
      <w:footerReference w:type="default" r:id="rId10"/>
      <w:pgSz w:w="11906" w:h="16838"/>
      <w:pgMar w:top="1980" w:right="1440" w:bottom="1440" w:left="1440"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52851" w14:textId="77777777" w:rsidR="000951BA" w:rsidRDefault="000951BA" w:rsidP="00B82B5C">
      <w:r>
        <w:separator/>
      </w:r>
    </w:p>
  </w:endnote>
  <w:endnote w:type="continuationSeparator" w:id="0">
    <w:p w14:paraId="26A64A02" w14:textId="77777777" w:rsidR="000951BA" w:rsidRDefault="000951BA" w:rsidP="00B8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389122"/>
      <w:docPartObj>
        <w:docPartGallery w:val="Page Numbers (Bottom of Page)"/>
        <w:docPartUnique/>
      </w:docPartObj>
    </w:sdtPr>
    <w:sdtContent>
      <w:p w14:paraId="7F71BE17" w14:textId="77777777" w:rsidR="00427EE2" w:rsidRDefault="00427EE2">
        <w:pPr>
          <w:pStyle w:val="Footer"/>
          <w:jc w:val="right"/>
        </w:pPr>
        <w:r>
          <w:fldChar w:fldCharType="begin"/>
        </w:r>
        <w:r>
          <w:instrText>PAGE   \* MERGEFORMAT</w:instrText>
        </w:r>
        <w:r>
          <w:fldChar w:fldCharType="separate"/>
        </w:r>
        <w:r>
          <w:t>2</w:t>
        </w:r>
        <w:r>
          <w:fldChar w:fldCharType="end"/>
        </w:r>
      </w:p>
    </w:sdtContent>
  </w:sdt>
  <w:p w14:paraId="49967569" w14:textId="77777777" w:rsidR="00B82B5C" w:rsidRDefault="00B8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3B5D4" w14:textId="77777777" w:rsidR="000951BA" w:rsidRDefault="000951BA" w:rsidP="00B82B5C">
      <w:r>
        <w:separator/>
      </w:r>
    </w:p>
  </w:footnote>
  <w:footnote w:type="continuationSeparator" w:id="0">
    <w:p w14:paraId="1D48972D" w14:textId="77777777" w:rsidR="000951BA" w:rsidRDefault="000951BA" w:rsidP="00B8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CBAA" w14:textId="77777777" w:rsidR="008B731E" w:rsidRDefault="008B731E" w:rsidP="007F2D0E">
    <w:pPr>
      <w:pStyle w:val="Header"/>
      <w:rPr>
        <w:rFonts w:ascii="Arial" w:hAnsi="Arial" w:cs="Arial"/>
      </w:rPr>
    </w:pPr>
  </w:p>
  <w:p w14:paraId="47C8FDB1" w14:textId="77777777" w:rsidR="007F2D0E" w:rsidRDefault="008B731E" w:rsidP="005F18DD">
    <w:pPr>
      <w:pStyle w:val="Header"/>
      <w:rPr>
        <w:rFonts w:ascii="Arial" w:hAnsi="Arial" w:cs="Arial"/>
      </w:rPr>
    </w:pPr>
    <w:r>
      <w:rPr>
        <w:rFonts w:ascii="Arial" w:hAnsi="Arial" w:cs="Arial"/>
      </w:rPr>
      <w:tab/>
    </w:r>
    <w:r>
      <w:rPr>
        <w:rFonts w:ascii="Arial" w:hAnsi="Arial" w:cs="Arial"/>
      </w:rPr>
      <w:tab/>
    </w:r>
  </w:p>
  <w:p w14:paraId="04B94D57" w14:textId="77777777" w:rsidR="007F2D0E" w:rsidRDefault="00671DE1" w:rsidP="005F18DD">
    <w:pPr>
      <w:pStyle w:val="Header"/>
      <w:rPr>
        <w:rFonts w:ascii="Arial" w:hAnsi="Arial" w:cs="Arial"/>
      </w:rPr>
    </w:pPr>
    <w:r w:rsidRPr="007054D6">
      <w:rPr>
        <w:rFonts w:ascii="Arial" w:hAnsi="Arial" w:cs="Arial"/>
        <w:color w:val="153F17"/>
        <w:sz w:val="24"/>
        <w:szCs w:val="24"/>
      </w:rPr>
      <w:drawing>
        <wp:anchor distT="0" distB="0" distL="114300" distR="114300" simplePos="0" relativeHeight="251658240" behindDoc="0" locked="0" layoutInCell="1" allowOverlap="1" wp14:anchorId="49EB8FC4" wp14:editId="6CF73F25">
          <wp:simplePos x="0" y="0"/>
          <wp:positionH relativeFrom="margin">
            <wp:align>left</wp:align>
          </wp:positionH>
          <wp:positionV relativeFrom="paragraph">
            <wp:posOffset>13335</wp:posOffset>
          </wp:positionV>
          <wp:extent cx="1838325" cy="308153"/>
          <wp:effectExtent l="0" t="0" r="0" b="0"/>
          <wp:wrapSquare wrapText="bothSides"/>
          <wp:docPr id="3" name="Imagine 5" descr="O imagine care conține text, miniatur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descr="O imagine care conține text, miniatură&#10;&#10;Descriere generată automa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308153"/>
                  </a:xfrm>
                  <a:prstGeom prst="rect">
                    <a:avLst/>
                  </a:prstGeom>
                </pic:spPr>
              </pic:pic>
            </a:graphicData>
          </a:graphic>
        </wp:anchor>
      </w:drawing>
    </w:r>
    <w:r>
      <w:rPr>
        <w:rFonts w:ascii="Arial" w:hAnsi="Arial" w:cs="Arial"/>
      </w:rPr>
      <w:t xml:space="preserve">                                                    </w:t>
    </w:r>
    <w:r>
      <w:rPr>
        <w:rFonts w:ascii="Arial" w:hAnsi="Arial" w:cs="Arial"/>
      </w:rPr>
      <w:drawing>
        <wp:inline distT="0" distB="0" distL="0" distR="0" wp14:anchorId="643E72B0" wp14:editId="4AC2BAB4">
          <wp:extent cx="1451077" cy="3333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2">
                    <a:extLst>
                      <a:ext uri="{28A0092B-C50C-407E-A947-70E740481C1C}">
                        <a14:useLocalDpi xmlns:a14="http://schemas.microsoft.com/office/drawing/2010/main" val="0"/>
                      </a:ext>
                    </a:extLst>
                  </a:blip>
                  <a:stretch>
                    <a:fillRect/>
                  </a:stretch>
                </pic:blipFill>
                <pic:spPr>
                  <a:xfrm>
                    <a:off x="0" y="0"/>
                    <a:ext cx="1529830" cy="351468"/>
                  </a:xfrm>
                  <a:prstGeom prst="rect">
                    <a:avLst/>
                  </a:prstGeom>
                </pic:spPr>
              </pic:pic>
            </a:graphicData>
          </a:graphic>
        </wp:inline>
      </w:drawing>
    </w:r>
    <w:r>
      <w:rPr>
        <w:rFonts w:ascii="Arial" w:hAnsi="Arial" w:cs="Arial"/>
      </w:rPr>
      <w:t xml:space="preserve">      </w:t>
    </w:r>
  </w:p>
  <w:p w14:paraId="53D8B482" w14:textId="77777777" w:rsidR="007F2D0E" w:rsidRDefault="007F2D0E" w:rsidP="005F18DD">
    <w:pPr>
      <w:pStyle w:val="Header"/>
      <w:rPr>
        <w:rFonts w:ascii="Arial" w:hAnsi="Arial" w:cs="Arial"/>
      </w:rPr>
    </w:pPr>
  </w:p>
  <w:p w14:paraId="3B91B804" w14:textId="77777777" w:rsidR="00671DE1" w:rsidRDefault="00671DE1" w:rsidP="005F18DD">
    <w:pPr>
      <w:pStyle w:val="Header"/>
      <w:rPr>
        <w:rFonts w:ascii="Arial" w:hAnsi="Arial" w:cs="Arial"/>
      </w:rPr>
    </w:pPr>
  </w:p>
  <w:p w14:paraId="604D54A8" w14:textId="77777777" w:rsidR="00B82B5C" w:rsidRPr="007054D6" w:rsidRDefault="007F2D0E" w:rsidP="00671DE1">
    <w:pPr>
      <w:pStyle w:val="Header"/>
      <w:jc w:val="right"/>
      <w:rPr>
        <w:rFonts w:ascii="Arial" w:hAnsi="Arial" w:cs="Arial"/>
        <w:sz w:val="18"/>
        <w:szCs w:val="18"/>
      </w:rPr>
    </w:pPr>
    <w:r>
      <w:rPr>
        <w:rFonts w:ascii="Arial" w:hAnsi="Arial" w:cs="Arial"/>
      </w:rPr>
      <w:t xml:space="preserve">                           </w:t>
    </w:r>
    <w:r w:rsidR="005F18DD" w:rsidRPr="007054D6">
      <w:rPr>
        <w:rFonts w:ascii="Arial" w:hAnsi="Arial" w:cs="Arial"/>
        <w:sz w:val="18"/>
        <w:szCs w:val="18"/>
      </w:rPr>
      <w:t xml:space="preserve">COMUNICAT DE PRESĂ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471B"/>
    <w:multiLevelType w:val="multilevel"/>
    <w:tmpl w:val="3B569F8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A779B5"/>
    <w:multiLevelType w:val="hybridMultilevel"/>
    <w:tmpl w:val="0100BCF0"/>
    <w:lvl w:ilvl="0" w:tplc="04180001">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 w15:restartNumberingAfterBreak="0">
    <w:nsid w:val="28573B23"/>
    <w:multiLevelType w:val="hybridMultilevel"/>
    <w:tmpl w:val="FE88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F0D0D"/>
    <w:multiLevelType w:val="hybridMultilevel"/>
    <w:tmpl w:val="C818F9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7D93BBF"/>
    <w:multiLevelType w:val="hybridMultilevel"/>
    <w:tmpl w:val="6BF4D9D8"/>
    <w:lvl w:ilvl="0" w:tplc="55E0F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7875B5"/>
    <w:multiLevelType w:val="hybridMultilevel"/>
    <w:tmpl w:val="A378E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8281350">
    <w:abstractNumId w:val="4"/>
  </w:num>
  <w:num w:numId="2" w16cid:durableId="1594167637">
    <w:abstractNumId w:val="1"/>
  </w:num>
  <w:num w:numId="3" w16cid:durableId="112369446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2029249">
    <w:abstractNumId w:val="3"/>
  </w:num>
  <w:num w:numId="5" w16cid:durableId="1942643586">
    <w:abstractNumId w:val="5"/>
  </w:num>
  <w:num w:numId="6" w16cid:durableId="1126388155">
    <w:abstractNumId w:val="2"/>
  </w:num>
  <w:num w:numId="7" w16cid:durableId="2006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04"/>
    <w:rsid w:val="000072C5"/>
    <w:rsid w:val="00012291"/>
    <w:rsid w:val="000156ED"/>
    <w:rsid w:val="000242CB"/>
    <w:rsid w:val="000274D4"/>
    <w:rsid w:val="00050836"/>
    <w:rsid w:val="000951BA"/>
    <w:rsid w:val="000B7CA3"/>
    <w:rsid w:val="00102768"/>
    <w:rsid w:val="001277D1"/>
    <w:rsid w:val="00160BFB"/>
    <w:rsid w:val="00183C8D"/>
    <w:rsid w:val="00195206"/>
    <w:rsid w:val="001B7604"/>
    <w:rsid w:val="001D483A"/>
    <w:rsid w:val="001F1984"/>
    <w:rsid w:val="00200CE5"/>
    <w:rsid w:val="00202F8F"/>
    <w:rsid w:val="00267A04"/>
    <w:rsid w:val="00267A2C"/>
    <w:rsid w:val="002F5077"/>
    <w:rsid w:val="00342603"/>
    <w:rsid w:val="003549BD"/>
    <w:rsid w:val="00364116"/>
    <w:rsid w:val="003A4D41"/>
    <w:rsid w:val="003B09ED"/>
    <w:rsid w:val="003B62C9"/>
    <w:rsid w:val="003F095B"/>
    <w:rsid w:val="004118A7"/>
    <w:rsid w:val="004253D9"/>
    <w:rsid w:val="00427EE2"/>
    <w:rsid w:val="00460157"/>
    <w:rsid w:val="00473B63"/>
    <w:rsid w:val="00475D9F"/>
    <w:rsid w:val="004833E4"/>
    <w:rsid w:val="004922C1"/>
    <w:rsid w:val="004B7596"/>
    <w:rsid w:val="004C3F26"/>
    <w:rsid w:val="004C78D8"/>
    <w:rsid w:val="005130AE"/>
    <w:rsid w:val="00513461"/>
    <w:rsid w:val="00566977"/>
    <w:rsid w:val="005801D5"/>
    <w:rsid w:val="005903CB"/>
    <w:rsid w:val="00595D73"/>
    <w:rsid w:val="00597A6E"/>
    <w:rsid w:val="005A7642"/>
    <w:rsid w:val="005B76CD"/>
    <w:rsid w:val="005C724A"/>
    <w:rsid w:val="005C78D3"/>
    <w:rsid w:val="005D1606"/>
    <w:rsid w:val="005F18DD"/>
    <w:rsid w:val="00605C3D"/>
    <w:rsid w:val="00613801"/>
    <w:rsid w:val="00621814"/>
    <w:rsid w:val="00671DE1"/>
    <w:rsid w:val="00676BD4"/>
    <w:rsid w:val="006A135E"/>
    <w:rsid w:val="006B4C77"/>
    <w:rsid w:val="006C226A"/>
    <w:rsid w:val="007054D6"/>
    <w:rsid w:val="007424C3"/>
    <w:rsid w:val="00742534"/>
    <w:rsid w:val="00771A69"/>
    <w:rsid w:val="00777BE3"/>
    <w:rsid w:val="007B1452"/>
    <w:rsid w:val="007F2D0E"/>
    <w:rsid w:val="0081612A"/>
    <w:rsid w:val="008206CA"/>
    <w:rsid w:val="00861869"/>
    <w:rsid w:val="00876E43"/>
    <w:rsid w:val="00882F5B"/>
    <w:rsid w:val="008A1D5E"/>
    <w:rsid w:val="008A4F1B"/>
    <w:rsid w:val="008A5CD2"/>
    <w:rsid w:val="008B731E"/>
    <w:rsid w:val="008C0BB3"/>
    <w:rsid w:val="008F0091"/>
    <w:rsid w:val="008F30FB"/>
    <w:rsid w:val="009155A9"/>
    <w:rsid w:val="00924621"/>
    <w:rsid w:val="00933DDB"/>
    <w:rsid w:val="00934127"/>
    <w:rsid w:val="009724D0"/>
    <w:rsid w:val="00980997"/>
    <w:rsid w:val="009B6004"/>
    <w:rsid w:val="00A631D5"/>
    <w:rsid w:val="00A63F3D"/>
    <w:rsid w:val="00AA4D4B"/>
    <w:rsid w:val="00AE1C2A"/>
    <w:rsid w:val="00B174AA"/>
    <w:rsid w:val="00B23E6F"/>
    <w:rsid w:val="00B24519"/>
    <w:rsid w:val="00B57931"/>
    <w:rsid w:val="00B60280"/>
    <w:rsid w:val="00B82B5C"/>
    <w:rsid w:val="00C05B89"/>
    <w:rsid w:val="00C23016"/>
    <w:rsid w:val="00C4435D"/>
    <w:rsid w:val="00C63269"/>
    <w:rsid w:val="00C7686E"/>
    <w:rsid w:val="00C82AFC"/>
    <w:rsid w:val="00C9680F"/>
    <w:rsid w:val="00CD1BD8"/>
    <w:rsid w:val="00CD2065"/>
    <w:rsid w:val="00D13E7F"/>
    <w:rsid w:val="00D82BA4"/>
    <w:rsid w:val="00D90457"/>
    <w:rsid w:val="00D97080"/>
    <w:rsid w:val="00D974AD"/>
    <w:rsid w:val="00DA194B"/>
    <w:rsid w:val="00DA67FA"/>
    <w:rsid w:val="00DD44CE"/>
    <w:rsid w:val="00E123A3"/>
    <w:rsid w:val="00E15396"/>
    <w:rsid w:val="00E15AB3"/>
    <w:rsid w:val="00E21280"/>
    <w:rsid w:val="00E35B04"/>
    <w:rsid w:val="00E3731A"/>
    <w:rsid w:val="00E43A79"/>
    <w:rsid w:val="00E86A45"/>
    <w:rsid w:val="00EB41CE"/>
    <w:rsid w:val="00ED66F2"/>
    <w:rsid w:val="00EE136E"/>
    <w:rsid w:val="00EF4BC3"/>
    <w:rsid w:val="00F0017E"/>
    <w:rsid w:val="00F17091"/>
    <w:rsid w:val="00F27401"/>
    <w:rsid w:val="00F34EE1"/>
    <w:rsid w:val="00F43EA3"/>
    <w:rsid w:val="00F62C31"/>
    <w:rsid w:val="00F70452"/>
    <w:rsid w:val="00F82A00"/>
    <w:rsid w:val="00F94D7E"/>
    <w:rsid w:val="00FA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A1AA"/>
  <w15:chartTrackingRefBased/>
  <w15:docId w15:val="{719C2BE4-06EB-4FAC-BA51-A738390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4"/>
    <w:pPr>
      <w:spacing w:after="0" w:line="240" w:lineRule="auto"/>
    </w:pPr>
    <w:rPr>
      <w:rFonts w:ascii="Calibri" w:hAnsi="Calibri" w:cs="Calibri"/>
      <w:noProof/>
      <w:lang w:val="ro-RO" w:eastAsia="en-GB"/>
    </w:rPr>
  </w:style>
  <w:style w:type="paragraph" w:styleId="Heading1">
    <w:name w:val="heading 1"/>
    <w:basedOn w:val="Normal"/>
    <w:next w:val="Normal"/>
    <w:link w:val="Heading1Char"/>
    <w:qFormat/>
    <w:rsid w:val="00E35B04"/>
    <w:pPr>
      <w:keepNext/>
      <w:outlineLvl w:val="0"/>
    </w:pPr>
    <w:rPr>
      <w:rFonts w:ascii="Times New Roman" w:eastAsia="Times New Roman" w:hAnsi="Times New Roman" w:cs="Times New Roman"/>
      <w:b/>
      <w:sz w:val="20"/>
      <w:szCs w:val="20"/>
      <w:lang w:val="en-US" w:eastAsia="ro-RO"/>
    </w:rPr>
  </w:style>
  <w:style w:type="paragraph" w:styleId="Heading2">
    <w:name w:val="heading 2"/>
    <w:basedOn w:val="Normal"/>
    <w:next w:val="Normal"/>
    <w:link w:val="Heading2Char"/>
    <w:qFormat/>
    <w:rsid w:val="00E35B04"/>
    <w:pPr>
      <w:keepNext/>
      <w:outlineLvl w:val="1"/>
    </w:pPr>
    <w:rPr>
      <w:rFonts w:ascii="Times New Roman" w:eastAsia="Times New Roman" w:hAnsi="Times New Roman" w:cs="Times New Roman"/>
      <w:b/>
      <w:sz w:val="16"/>
      <w:szCs w:val="20"/>
      <w:lang w:eastAsia="ro-RO"/>
    </w:rPr>
  </w:style>
  <w:style w:type="paragraph" w:styleId="Heading3">
    <w:name w:val="heading 3"/>
    <w:basedOn w:val="Normal"/>
    <w:next w:val="Normal"/>
    <w:link w:val="Heading3Char"/>
    <w:qFormat/>
    <w:rsid w:val="00E35B04"/>
    <w:pPr>
      <w:keepNext/>
      <w:outlineLvl w:val="2"/>
    </w:pPr>
    <w:rPr>
      <w:rFonts w:ascii="Times New Roman" w:eastAsia="Times New Roman" w:hAnsi="Times New Roman" w:cs="Times New Roman"/>
      <w:b/>
      <w:sz w:val="1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B04"/>
    <w:rPr>
      <w:rFonts w:ascii="Times New Roman" w:eastAsia="Times New Roman" w:hAnsi="Times New Roman" w:cs="Times New Roman"/>
      <w:b/>
      <w:sz w:val="20"/>
      <w:szCs w:val="20"/>
      <w:lang w:val="en-US" w:eastAsia="ro-RO"/>
    </w:rPr>
  </w:style>
  <w:style w:type="character" w:customStyle="1" w:styleId="Heading2Char">
    <w:name w:val="Heading 2 Char"/>
    <w:basedOn w:val="DefaultParagraphFont"/>
    <w:link w:val="Heading2"/>
    <w:rsid w:val="00E35B04"/>
    <w:rPr>
      <w:rFonts w:ascii="Times New Roman" w:eastAsia="Times New Roman" w:hAnsi="Times New Roman" w:cs="Times New Roman"/>
      <w:b/>
      <w:sz w:val="16"/>
      <w:szCs w:val="20"/>
      <w:lang w:val="ro-RO" w:eastAsia="ro-RO"/>
    </w:rPr>
  </w:style>
  <w:style w:type="character" w:customStyle="1" w:styleId="Heading3Char">
    <w:name w:val="Heading 3 Char"/>
    <w:basedOn w:val="DefaultParagraphFont"/>
    <w:link w:val="Heading3"/>
    <w:rsid w:val="00E35B04"/>
    <w:rPr>
      <w:rFonts w:ascii="Times New Roman" w:eastAsia="Times New Roman" w:hAnsi="Times New Roman" w:cs="Times New Roman"/>
      <w:b/>
      <w:sz w:val="14"/>
      <w:szCs w:val="20"/>
      <w:lang w:val="ro-RO" w:eastAsia="ro-RO"/>
    </w:rPr>
  </w:style>
  <w:style w:type="character" w:styleId="Hyperlink">
    <w:name w:val="Hyperlink"/>
    <w:rsid w:val="00E35B04"/>
    <w:rPr>
      <w:color w:val="0000FF"/>
      <w:u w:val="single"/>
    </w:rPr>
  </w:style>
  <w:style w:type="paragraph" w:styleId="BodyTextIndent">
    <w:name w:val="Body Text Indent"/>
    <w:basedOn w:val="Normal"/>
    <w:link w:val="BodyTextIndentChar"/>
    <w:rsid w:val="00E35B04"/>
    <w:pPr>
      <w:ind w:firstLine="567"/>
    </w:pPr>
    <w:rPr>
      <w:rFonts w:ascii="Times New Roman" w:eastAsia="Times New Roman" w:hAnsi="Times New Roman" w:cs="Times New Roman"/>
      <w:b/>
      <w:sz w:val="16"/>
      <w:szCs w:val="20"/>
      <w:lang w:eastAsia="ro-RO"/>
    </w:rPr>
  </w:style>
  <w:style w:type="character" w:customStyle="1" w:styleId="BodyTextIndentChar">
    <w:name w:val="Body Text Indent Char"/>
    <w:basedOn w:val="DefaultParagraphFont"/>
    <w:link w:val="BodyTextIndent"/>
    <w:rsid w:val="00E35B04"/>
    <w:rPr>
      <w:rFonts w:ascii="Times New Roman" w:eastAsia="Times New Roman" w:hAnsi="Times New Roman" w:cs="Times New Roman"/>
      <w:b/>
      <w:sz w:val="16"/>
      <w:szCs w:val="20"/>
      <w:lang w:val="ro-RO" w:eastAsia="ro-RO"/>
    </w:rPr>
  </w:style>
  <w:style w:type="paragraph" w:styleId="BodyText">
    <w:name w:val="Body Text"/>
    <w:basedOn w:val="Normal"/>
    <w:link w:val="BodyTextChar"/>
    <w:rsid w:val="00E35B04"/>
    <w:rPr>
      <w:rFonts w:ascii="Times New Roman" w:eastAsia="Times New Roman" w:hAnsi="Times New Roman" w:cs="Times New Roman"/>
      <w:b/>
      <w:sz w:val="18"/>
      <w:szCs w:val="20"/>
      <w:lang w:val="pt-BR" w:eastAsia="ro-RO"/>
    </w:rPr>
  </w:style>
  <w:style w:type="character" w:customStyle="1" w:styleId="BodyTextChar">
    <w:name w:val="Body Text Char"/>
    <w:basedOn w:val="DefaultParagraphFont"/>
    <w:link w:val="BodyText"/>
    <w:rsid w:val="00E35B04"/>
    <w:rPr>
      <w:rFonts w:ascii="Times New Roman" w:eastAsia="Times New Roman" w:hAnsi="Times New Roman" w:cs="Times New Roman"/>
      <w:b/>
      <w:sz w:val="18"/>
      <w:szCs w:val="20"/>
      <w:lang w:val="pt-BR" w:eastAsia="ro-RO"/>
    </w:rPr>
  </w:style>
  <w:style w:type="paragraph" w:styleId="ListParagraph">
    <w:name w:val="List Paragraph"/>
    <w:basedOn w:val="Normal"/>
    <w:uiPriority w:val="34"/>
    <w:qFormat/>
    <w:rsid w:val="00E35B04"/>
    <w:pPr>
      <w:ind w:left="720"/>
      <w:contextualSpacing/>
    </w:pPr>
  </w:style>
  <w:style w:type="paragraph" w:styleId="Header">
    <w:name w:val="header"/>
    <w:basedOn w:val="Normal"/>
    <w:link w:val="HeaderChar"/>
    <w:uiPriority w:val="99"/>
    <w:unhideWhenUsed/>
    <w:rsid w:val="00B82B5C"/>
    <w:pPr>
      <w:tabs>
        <w:tab w:val="center" w:pos="4513"/>
        <w:tab w:val="right" w:pos="9026"/>
      </w:tabs>
    </w:pPr>
  </w:style>
  <w:style w:type="character" w:customStyle="1" w:styleId="HeaderChar">
    <w:name w:val="Header Char"/>
    <w:basedOn w:val="DefaultParagraphFont"/>
    <w:link w:val="Header"/>
    <w:uiPriority w:val="99"/>
    <w:rsid w:val="00B82B5C"/>
    <w:rPr>
      <w:rFonts w:ascii="Calibri" w:hAnsi="Calibri" w:cs="Calibri"/>
      <w:noProof/>
      <w:lang w:val="ro-RO" w:eastAsia="en-GB"/>
    </w:rPr>
  </w:style>
  <w:style w:type="paragraph" w:styleId="Footer">
    <w:name w:val="footer"/>
    <w:basedOn w:val="Normal"/>
    <w:link w:val="FooterChar"/>
    <w:uiPriority w:val="99"/>
    <w:unhideWhenUsed/>
    <w:rsid w:val="00B82B5C"/>
    <w:pPr>
      <w:tabs>
        <w:tab w:val="center" w:pos="4513"/>
        <w:tab w:val="right" w:pos="9026"/>
      </w:tabs>
    </w:pPr>
  </w:style>
  <w:style w:type="character" w:customStyle="1" w:styleId="FooterChar">
    <w:name w:val="Footer Char"/>
    <w:basedOn w:val="DefaultParagraphFont"/>
    <w:link w:val="Footer"/>
    <w:uiPriority w:val="99"/>
    <w:rsid w:val="00B82B5C"/>
    <w:rPr>
      <w:rFonts w:ascii="Calibri" w:hAnsi="Calibri" w:cs="Calibri"/>
      <w:noProof/>
      <w:lang w:val="ro-RO" w:eastAsia="en-GB"/>
    </w:rPr>
  </w:style>
  <w:style w:type="character" w:styleId="UnresolvedMention">
    <w:name w:val="Unresolved Mention"/>
    <w:basedOn w:val="DefaultParagraphFont"/>
    <w:uiPriority w:val="99"/>
    <w:semiHidden/>
    <w:unhideWhenUsed/>
    <w:rsid w:val="00195206"/>
    <w:rPr>
      <w:color w:val="605E5C"/>
      <w:shd w:val="clear" w:color="auto" w:fill="E1DFDD"/>
    </w:rPr>
  </w:style>
  <w:style w:type="character" w:styleId="Strong">
    <w:name w:val="Strong"/>
    <w:basedOn w:val="DefaultParagraphFont"/>
    <w:uiPriority w:val="22"/>
    <w:qFormat/>
    <w:rsid w:val="00C9680F"/>
    <w:rPr>
      <w:b/>
      <w:bCs/>
    </w:rPr>
  </w:style>
  <w:style w:type="paragraph" w:styleId="NormalWeb">
    <w:name w:val="Normal (Web)"/>
    <w:basedOn w:val="Normal"/>
    <w:uiPriority w:val="99"/>
    <w:semiHidden/>
    <w:unhideWhenUsed/>
    <w:rsid w:val="00676BD4"/>
    <w:pPr>
      <w:spacing w:before="100" w:beforeAutospacing="1" w:after="100" w:afterAutospacing="1"/>
    </w:pPr>
    <w:rPr>
      <w:rFonts w:ascii="Times New Roman" w:eastAsia="Times New Roman" w:hAnsi="Times New Roman" w:cs="Times New Roman"/>
      <w:noProof w:val="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558982">
      <w:bodyDiv w:val="1"/>
      <w:marLeft w:val="0"/>
      <w:marRight w:val="0"/>
      <w:marTop w:val="0"/>
      <w:marBottom w:val="0"/>
      <w:divBdr>
        <w:top w:val="none" w:sz="0" w:space="0" w:color="auto"/>
        <w:left w:val="none" w:sz="0" w:space="0" w:color="auto"/>
        <w:bottom w:val="none" w:sz="0" w:space="0" w:color="auto"/>
        <w:right w:val="none" w:sz="0" w:space="0" w:color="auto"/>
      </w:divBdr>
    </w:div>
    <w:div w:id="1505245414">
      <w:bodyDiv w:val="1"/>
      <w:marLeft w:val="0"/>
      <w:marRight w:val="0"/>
      <w:marTop w:val="0"/>
      <w:marBottom w:val="0"/>
      <w:divBdr>
        <w:top w:val="none" w:sz="0" w:space="0" w:color="auto"/>
        <w:left w:val="none" w:sz="0" w:space="0" w:color="auto"/>
        <w:bottom w:val="none" w:sz="0" w:space="0" w:color="auto"/>
        <w:right w:val="none" w:sz="0" w:space="0" w:color="auto"/>
      </w:divBdr>
    </w:div>
    <w:div w:id="1609698322">
      <w:bodyDiv w:val="1"/>
      <w:marLeft w:val="0"/>
      <w:marRight w:val="0"/>
      <w:marTop w:val="0"/>
      <w:marBottom w:val="0"/>
      <w:divBdr>
        <w:top w:val="none" w:sz="0" w:space="0" w:color="auto"/>
        <w:left w:val="none" w:sz="0" w:space="0" w:color="auto"/>
        <w:bottom w:val="none" w:sz="0" w:space="0" w:color="auto"/>
        <w:right w:val="none" w:sz="0" w:space="0" w:color="auto"/>
      </w:divBdr>
    </w:div>
    <w:div w:id="1856308400">
      <w:bodyDiv w:val="1"/>
      <w:marLeft w:val="0"/>
      <w:marRight w:val="0"/>
      <w:marTop w:val="0"/>
      <w:marBottom w:val="0"/>
      <w:divBdr>
        <w:top w:val="none" w:sz="0" w:space="0" w:color="auto"/>
        <w:left w:val="none" w:sz="0" w:space="0" w:color="auto"/>
        <w:bottom w:val="none" w:sz="0" w:space="0" w:color="auto"/>
        <w:right w:val="none" w:sz="0" w:space="0" w:color="auto"/>
      </w:divBdr>
    </w:div>
    <w:div w:id="21261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rvest.ro/alba/campanii-sezonie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ACE1-2172-45CF-9784-640C42B7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Daraban</dc:creator>
  <cp:keywords/>
  <dc:description/>
  <cp:lastModifiedBy>Laura Daraban</cp:lastModifiedBy>
  <cp:revision>2</cp:revision>
  <dcterms:created xsi:type="dcterms:W3CDTF">2024-05-16T07:15:00Z</dcterms:created>
  <dcterms:modified xsi:type="dcterms:W3CDTF">2024-05-16T07:15:00Z</dcterms:modified>
</cp:coreProperties>
</file>